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88" w:rsidRPr="001F7455" w:rsidRDefault="006E6988" w:rsidP="006E6988">
      <w:pPr>
        <w:spacing w:beforeLines="50" w:before="156"/>
        <w:jc w:val="right"/>
        <w:rPr>
          <w:rFonts w:ascii="仿宋_GB2312" w:eastAsia="仿宋_GB2312" w:hAnsi="Times New Roman" w:cs="Times New Roman"/>
          <w:sz w:val="30"/>
          <w:szCs w:val="30"/>
        </w:rPr>
      </w:pPr>
      <w:proofErr w:type="gramStart"/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中畜协函</w:t>
      </w:r>
      <w:proofErr w:type="gramEnd"/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〔2019〕</w:t>
      </w:r>
      <w:r>
        <w:rPr>
          <w:rFonts w:ascii="仿宋_GB2312" w:eastAsia="仿宋_GB2312" w:hAnsi="Times New Roman" w:cs="Times New Roman" w:hint="eastAsia"/>
          <w:sz w:val="30"/>
          <w:szCs w:val="30"/>
        </w:rPr>
        <w:t>107</w:t>
      </w:r>
      <w:r w:rsidRPr="00583791">
        <w:rPr>
          <w:rFonts w:ascii="仿宋_GB2312" w:eastAsia="仿宋_GB2312" w:hAnsi="Times New Roman" w:cs="Times New Roman" w:hint="eastAsia"/>
          <w:sz w:val="30"/>
          <w:szCs w:val="30"/>
        </w:rPr>
        <w:t>号</w:t>
      </w:r>
    </w:p>
    <w:p w:rsidR="006E6988" w:rsidRPr="006E6988" w:rsidRDefault="006E6988" w:rsidP="006E6988">
      <w:pPr>
        <w:jc w:val="center"/>
        <w:rPr>
          <w:rFonts w:ascii="华文中宋" w:eastAsia="华文中宋" w:hAnsi="华文中宋" w:cs="Times New Roman"/>
          <w:b/>
          <w:sz w:val="36"/>
          <w:szCs w:val="44"/>
        </w:rPr>
      </w:pPr>
      <w:r w:rsidRPr="006E6988">
        <w:rPr>
          <w:rFonts w:ascii="华文中宋" w:eastAsia="华文中宋" w:hAnsi="华文中宋" w:cs="Times New Roman" w:hint="eastAsia"/>
          <w:b/>
          <w:sz w:val="36"/>
          <w:szCs w:val="44"/>
        </w:rPr>
        <w:t>关于</w:t>
      </w:r>
      <w:r>
        <w:rPr>
          <w:rFonts w:ascii="华文中宋" w:eastAsia="华文中宋" w:hAnsi="华文中宋" w:cs="Times New Roman" w:hint="eastAsia"/>
          <w:b/>
          <w:sz w:val="36"/>
          <w:szCs w:val="44"/>
        </w:rPr>
        <w:t>举办</w:t>
      </w:r>
      <w:r w:rsidRPr="006E6988">
        <w:rPr>
          <w:rFonts w:ascii="华文中宋" w:eastAsia="华文中宋" w:hAnsi="华文中宋" w:cs="Times New Roman" w:hint="eastAsia"/>
          <w:b/>
          <w:sz w:val="36"/>
          <w:szCs w:val="44"/>
        </w:rPr>
        <w:t>畜禽养殖废弃物无害化处理</w:t>
      </w:r>
    </w:p>
    <w:p w:rsidR="006E6988" w:rsidRDefault="006E6988" w:rsidP="006E6988">
      <w:pPr>
        <w:jc w:val="center"/>
        <w:rPr>
          <w:rFonts w:ascii="华文中宋" w:eastAsia="华文中宋" w:hAnsi="华文中宋" w:cs="Times New Roman"/>
          <w:b/>
          <w:sz w:val="36"/>
          <w:szCs w:val="44"/>
        </w:rPr>
      </w:pPr>
      <w:r w:rsidRPr="006E6988">
        <w:rPr>
          <w:rFonts w:ascii="华文中宋" w:eastAsia="华文中宋" w:hAnsi="华文中宋" w:cs="Times New Roman" w:hint="eastAsia"/>
          <w:b/>
          <w:sz w:val="36"/>
          <w:szCs w:val="44"/>
        </w:rPr>
        <w:t>及资源化利用培训的通知</w:t>
      </w:r>
    </w:p>
    <w:p w:rsidR="00A86483" w:rsidRPr="006E6988" w:rsidRDefault="00A86483" w:rsidP="006E6988">
      <w:pPr>
        <w:jc w:val="center"/>
        <w:rPr>
          <w:rFonts w:ascii="华文中宋" w:eastAsia="华文中宋" w:hAnsi="华文中宋" w:cs="Times New Roman"/>
          <w:b/>
          <w:sz w:val="36"/>
          <w:szCs w:val="44"/>
        </w:rPr>
      </w:pPr>
    </w:p>
    <w:p w:rsidR="001846A2" w:rsidRPr="00A86483" w:rsidRDefault="001846A2" w:rsidP="001846A2">
      <w:pPr>
        <w:spacing w:line="600" w:lineRule="exact"/>
        <w:rPr>
          <w:rFonts w:ascii="仿宋_GB2312" w:eastAsia="仿宋_GB2312" w:hAnsi="宋体" w:cs="仿宋_GB2312"/>
          <w:b/>
          <w:color w:val="000000"/>
          <w:sz w:val="30"/>
          <w:szCs w:val="30"/>
          <w:shd w:val="clear" w:color="auto" w:fill="FFFFFF"/>
        </w:rPr>
      </w:pPr>
      <w:r w:rsidRPr="001F7455">
        <w:rPr>
          <w:rFonts w:ascii="仿宋_GB2312" w:eastAsia="仿宋_GB2312" w:hAnsi="宋体" w:cs="仿宋_GB2312" w:hint="eastAsia"/>
          <w:b/>
          <w:color w:val="000000"/>
          <w:sz w:val="30"/>
          <w:szCs w:val="30"/>
          <w:shd w:val="clear" w:color="auto" w:fill="FFFFFF"/>
        </w:rPr>
        <w:t>各位会员、有关单位与相关行业从业者：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为进一步落实《国务院办公厅关于加快推进畜禽养殖废弃物资源化利用的意见》（国办发〔2017〕48号）文件精神，以“创新、协调、绿色、开放、共享”为理念，以“源头减量、过程控制、末端利用”为治理路径，坚持保供给与</w:t>
      </w:r>
      <w:proofErr w:type="gramStart"/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保环境</w:t>
      </w:r>
      <w:proofErr w:type="gramEnd"/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并重，全面推进畜禽养殖废弃物资源化利用，构建种养结合、农牧循环的可持续发展新格局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深入贯彻实施乡村振兴战略，落实高质量发展要求，深化畜牧业供给侧结构性改革，推进畜牧业转型升级，加快畜禽粪污资源化利用进程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中国畜牧业协会拟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定于2019年12月26-29日在广州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举办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“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畜禽养殖废弃物无害化处理及资源化利用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”培训。现将有关事宜通知如下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一、主办单位：中国畜牧业协会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二、承办单位：北京创维未来信息咨询中心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三、赞助单位：诚招中……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四、协办单位：诚招中……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五、培训内容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（日程安排）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：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12月26日全天报到。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sectPr w:rsidR="001846A2" w:rsidSect="00A86483">
          <w:footerReference w:type="default" r:id="rId7"/>
          <w:pgSz w:w="11906" w:h="16838"/>
          <w:pgMar w:top="3005" w:right="1230" w:bottom="1440" w:left="1230" w:header="851" w:footer="992" w:gutter="0"/>
          <w:cols w:space="425"/>
          <w:titlePg/>
          <w:docGrid w:type="lines" w:linePitch="312"/>
        </w:sectPr>
      </w:pP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lastRenderedPageBreak/>
        <w:t>12月27日全天及28日上午培训内容：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12月27日上午</w:t>
      </w:r>
      <w:r w:rsidR="007D3A1A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 xml:space="preserve"> 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B80A4B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1.畜禽养殖废弃物无害化处理最新政策解读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；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2.畜禽粪污资源化利用整县推进项目的申报和验收要点；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3.“非瘟”形势下畜禽养殖废弃物无害化处理</w:t>
      </w:r>
      <w:r w:rsidRPr="00A0202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整县推进项目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如何调整和健康运营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；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4.</w:t>
      </w:r>
      <w:r w:rsidRPr="00EF410B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规模化养殖场环保标准及环评要点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；</w:t>
      </w:r>
      <w:r w:rsidRPr="006E6988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 xml:space="preserve"> 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12月27日下午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5.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畜禽粪污处理、大型有机肥项目的工艺设计方案；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6.舍外发酵床的工艺技术、设备选型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和整体解决方案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；</w:t>
      </w:r>
      <w:r w:rsidRPr="006E6988"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 xml:space="preserve"> 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7.病死畜禽无害化处理技术；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 xml:space="preserve"> </w:t>
      </w:r>
    </w:p>
    <w:p w:rsidR="001846A2" w:rsidRPr="006E6988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8.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卧式高温发酵一体化设备农村面源污染整县推进经验交流；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.固液分离机类设备使用的案例分享；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12月28日上午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10.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大型养殖企业粪污处理、沼气发电的运营及沼液的利用；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.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污水管理对</w:t>
      </w:r>
      <w:r w:rsidR="00120430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水禽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养殖的影响；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2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.畜禽养殖粪污处理达标排放在沿海地区的应用案例分享；</w:t>
      </w:r>
      <w:r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 xml:space="preserve"> 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13.</w:t>
      </w:r>
      <w:r w:rsidRPr="006E6988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循环农业—种养结合介绍及案例分析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。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12月28日下午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企业参观考察。</w:t>
      </w:r>
    </w:p>
    <w:p w:rsidR="0045269E" w:rsidRPr="0045269E" w:rsidRDefault="0045269E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12月29日返程。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Calibri" w:cs="Times New Roman"/>
          <w:b/>
          <w:sz w:val="30"/>
          <w:szCs w:val="30"/>
        </w:rPr>
      </w:pPr>
      <w:r w:rsidRPr="0088752B">
        <w:rPr>
          <w:rFonts w:ascii="仿宋_GB2312" w:eastAsia="仿宋_GB2312" w:hAnsi="Times New Roman" w:cs="Times New Roman" w:hint="eastAsia"/>
          <w:b/>
          <w:sz w:val="30"/>
          <w:szCs w:val="30"/>
        </w:rPr>
        <w:t>六、相关事宜：</w:t>
      </w:r>
    </w:p>
    <w:p w:rsidR="001846A2" w:rsidRPr="0088752B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sz w:val="30"/>
          <w:szCs w:val="30"/>
        </w:rPr>
        <w:t>1.培训方式：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CF7D02">
        <w:rPr>
          <w:rFonts w:ascii="仿宋_GB2312" w:eastAsia="仿宋_GB2312" w:hAnsi="Calibri" w:cs="Times New Roman" w:hint="eastAsia"/>
          <w:bCs/>
          <w:sz w:val="30"/>
          <w:szCs w:val="30"/>
        </w:rPr>
        <w:lastRenderedPageBreak/>
        <w:t>培训拟邀请农业农村部、全国畜牧总站、畜禽养殖废弃物处理和资源化专家组、异位发酵</w:t>
      </w:r>
      <w:proofErr w:type="gramStart"/>
      <w:r w:rsidRPr="00CF7D02">
        <w:rPr>
          <w:rFonts w:ascii="仿宋_GB2312" w:eastAsia="仿宋_GB2312" w:hAnsi="Calibri" w:cs="Times New Roman" w:hint="eastAsia"/>
          <w:bCs/>
          <w:sz w:val="30"/>
          <w:szCs w:val="30"/>
        </w:rPr>
        <w:t>床专家</w:t>
      </w:r>
      <w:proofErr w:type="gramEnd"/>
      <w:r w:rsidRPr="00CF7D02">
        <w:rPr>
          <w:rFonts w:ascii="仿宋_GB2312" w:eastAsia="仿宋_GB2312" w:hAnsi="Calibri" w:cs="Times New Roman" w:hint="eastAsia"/>
          <w:bCs/>
          <w:sz w:val="30"/>
          <w:szCs w:val="30"/>
        </w:rPr>
        <w:t>组等有关方面的专家、教授主讲。培训以讲座、研讨、交流相结合的方式进行。</w:t>
      </w:r>
    </w:p>
    <w:p w:rsidR="001846A2" w:rsidRPr="0088752B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b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sz w:val="30"/>
          <w:szCs w:val="30"/>
        </w:rPr>
        <w:t>2.参加对象</w:t>
      </w:r>
      <w:r w:rsidRPr="0088752B">
        <w:rPr>
          <w:rFonts w:ascii="仿宋_GB2312" w:eastAsia="仿宋_GB2312" w:hAnsi="Calibri" w:cs="Times New Roman" w:hint="eastAsia"/>
          <w:b/>
          <w:sz w:val="30"/>
          <w:szCs w:val="30"/>
        </w:rPr>
        <w:t>：</w:t>
      </w:r>
    </w:p>
    <w:p w:rsidR="001846A2" w:rsidRPr="0088752B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各地农牧业厅（局）领导与相关人员、畜牧技术推广人员、畜牧科技服务中心、相关行业协会、高校科研院所等相关负责人、规模化畜禽养殖企业、环保新能源设备企业相关人员等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。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sz w:val="30"/>
          <w:szCs w:val="30"/>
        </w:rPr>
        <w:t>3.时间和地点：</w:t>
      </w:r>
    </w:p>
    <w:p w:rsidR="001846A2" w:rsidRPr="0088752B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054604">
        <w:rPr>
          <w:rFonts w:ascii="仿宋_GB2312" w:eastAsia="仿宋_GB2312" w:hAnsi="Calibri" w:cs="Times New Roman" w:hint="eastAsia"/>
          <w:bCs/>
          <w:sz w:val="30"/>
          <w:szCs w:val="30"/>
        </w:rPr>
        <w:t>地点：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广州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时间：12月26</w:t>
      </w:r>
      <w:r w:rsidRPr="00054604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-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29</w:t>
      </w:r>
      <w:r w:rsidRPr="00054604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日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（26日全天报到）</w:t>
      </w:r>
    </w:p>
    <w:p w:rsidR="001846A2" w:rsidRPr="0088752B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sz w:val="30"/>
          <w:szCs w:val="30"/>
        </w:rPr>
        <w:t>4.</w:t>
      </w:r>
      <w:r w:rsidRPr="0088752B">
        <w:rPr>
          <w:rFonts w:ascii="仿宋_GB2312" w:eastAsia="仿宋_GB2312" w:hint="eastAsia"/>
          <w:sz w:val="30"/>
          <w:szCs w:val="30"/>
        </w:rPr>
        <w:t xml:space="preserve"> </w:t>
      </w:r>
      <w:r w:rsidRPr="0088752B">
        <w:rPr>
          <w:rFonts w:ascii="仿宋_GB2312" w:eastAsia="仿宋_GB2312" w:hAnsi="Calibri" w:cs="Times New Roman" w:hint="eastAsia"/>
          <w:sz w:val="30"/>
          <w:szCs w:val="30"/>
        </w:rPr>
        <w:t>培训费用：</w:t>
      </w:r>
    </w:p>
    <w:p w:rsidR="001846A2" w:rsidRPr="0088752B" w:rsidRDefault="001846A2" w:rsidP="001846A2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培训班收费标准为1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78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0元/人，住宿统一安排，费用自理，</w:t>
      </w:r>
      <w:r w:rsidRPr="0088752B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sz w:val="30"/>
          <w:szCs w:val="30"/>
        </w:rPr>
        <w:t>2</w:t>
      </w:r>
      <w:r w:rsidRPr="0088752B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15</w:t>
      </w:r>
      <w:r w:rsidRPr="0088752B">
        <w:rPr>
          <w:rFonts w:ascii="仿宋_GB2312" w:eastAsia="仿宋_GB2312" w:hAnsi="Times New Roman" w:cs="Times New Roman" w:hint="eastAsia"/>
          <w:sz w:val="30"/>
          <w:szCs w:val="30"/>
        </w:rPr>
        <w:t>日之前完成报名并缴费可享受：</w:t>
      </w:r>
    </w:p>
    <w:p w:rsidR="001846A2" w:rsidRDefault="001846A2" w:rsidP="001846A2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Times New Roman" w:cs="Times New Roman" w:hint="eastAsia"/>
          <w:sz w:val="30"/>
          <w:szCs w:val="30"/>
        </w:rPr>
        <w:t>（1）缴纳会费的团体会员单位：可享受1200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元/人优惠；</w:t>
      </w:r>
    </w:p>
    <w:p w:rsidR="001846A2" w:rsidRPr="00C73920" w:rsidRDefault="001846A2" w:rsidP="001846A2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sz w:val="30"/>
          <w:szCs w:val="30"/>
        </w:rPr>
        <w:t>（2）养殖企业会员单位免1人的培训费；</w:t>
      </w:r>
    </w:p>
    <w:p w:rsidR="001846A2" w:rsidRPr="0088752B" w:rsidRDefault="001846A2" w:rsidP="001846A2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（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3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）非会员单位及个人：</w:t>
      </w:r>
      <w:r w:rsidRPr="0088752B">
        <w:rPr>
          <w:rFonts w:ascii="仿宋_GB2312" w:eastAsia="仿宋_GB2312" w:hAnsi="Times New Roman" w:cs="Times New Roman" w:hint="eastAsia"/>
          <w:sz w:val="30"/>
          <w:szCs w:val="30"/>
        </w:rPr>
        <w:t>可享受1</w:t>
      </w:r>
      <w:r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Pr="0088752B">
        <w:rPr>
          <w:rFonts w:ascii="仿宋_GB2312" w:eastAsia="仿宋_GB2312" w:hAnsi="Times New Roman" w:cs="Times New Roman" w:hint="eastAsia"/>
          <w:sz w:val="30"/>
          <w:szCs w:val="30"/>
        </w:rPr>
        <w:t>00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元/人优惠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。</w:t>
      </w:r>
      <w:r w:rsidRPr="0088752B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</w:p>
    <w:p w:rsidR="001846A2" w:rsidRPr="0088752B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5.报名方式：</w:t>
      </w:r>
    </w:p>
    <w:p w:rsidR="001846A2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参加培训人员需提前填写报名回执（附件）或从中国畜牧业信息网http://www.caaa.cn下载，于1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2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15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日前发邮件至指定邮箱，协会收到回执后，根据培训课程的安排与您联系。</w:t>
      </w:r>
    </w:p>
    <w:p w:rsidR="001846A2" w:rsidRPr="0088752B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6.交费方式：</w:t>
      </w:r>
      <w:r w:rsidRPr="0088752B">
        <w:rPr>
          <w:rFonts w:ascii="仿宋_GB2312" w:eastAsia="仿宋_GB2312" w:hAnsi="Calibri" w:cs="Times New Roman"/>
          <w:bCs/>
          <w:sz w:val="30"/>
          <w:szCs w:val="30"/>
        </w:rPr>
        <w:t xml:space="preserve"> </w:t>
      </w:r>
    </w:p>
    <w:p w:rsidR="001846A2" w:rsidRPr="0088752B" w:rsidRDefault="001846A2" w:rsidP="001846A2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账户名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北京创维未来信息咨询中心（普通合伙）</w:t>
      </w:r>
    </w:p>
    <w:p w:rsidR="001846A2" w:rsidRPr="0088752B" w:rsidRDefault="001846A2" w:rsidP="001846A2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开户行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中国工商银行北京清河镇支行</w:t>
      </w:r>
    </w:p>
    <w:p w:rsidR="001846A2" w:rsidRPr="0088752B" w:rsidRDefault="001846A2" w:rsidP="001846A2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proofErr w:type="gramStart"/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lastRenderedPageBreak/>
        <w:t>账</w:t>
      </w:r>
      <w:proofErr w:type="gramEnd"/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  号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0200 0061 0920 0254 755</w:t>
      </w:r>
    </w:p>
    <w:p w:rsidR="001846A2" w:rsidRPr="0088752B" w:rsidRDefault="001846A2" w:rsidP="001846A2">
      <w:pPr>
        <w:spacing w:line="600" w:lineRule="exact"/>
        <w:ind w:firstLineChars="200" w:firstLine="600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7.培训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考核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合格人员，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颁发中国畜牧业协会畜牧行业技术培训证书，报到时需</w:t>
      </w:r>
      <w:r w:rsidRPr="00054604">
        <w:rPr>
          <w:rFonts w:ascii="仿宋_GB2312" w:eastAsia="仿宋_GB2312" w:hAnsi="Calibri" w:cs="Times New Roman" w:hint="eastAsia"/>
          <w:bCs/>
          <w:sz w:val="30"/>
          <w:szCs w:val="30"/>
        </w:rPr>
        <w:t>提交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一张</w:t>
      </w:r>
      <w:r w:rsidRPr="00054604">
        <w:rPr>
          <w:rFonts w:ascii="仿宋_GB2312" w:eastAsia="仿宋_GB2312" w:hAnsi="Calibri" w:cs="Times New Roman" w:hint="eastAsia"/>
          <w:bCs/>
          <w:sz w:val="30"/>
          <w:szCs w:val="30"/>
        </w:rPr>
        <w:t>一寸照片。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Calibri" w:cs="Times New Roman"/>
          <w:b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/>
          <w:sz w:val="30"/>
          <w:szCs w:val="30"/>
        </w:rPr>
        <w:t>七、联系方式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88752B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地  址:北京市西城区西直门外大街112号阳光大厦308室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编:100044                传真:010-88388300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话:010-88388857  88388699转893 86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1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898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  <w:proofErr w:type="gramStart"/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箱:</w:t>
      </w:r>
      <w:r w:rsidRPr="00863701">
        <w:rPr>
          <w:rFonts w:ascii="仿宋_GB2312" w:eastAsia="仿宋_GB2312" w:hAnsi="Calibri" w:cs="Times New Roman" w:hint="eastAsia"/>
          <w:bCs/>
          <w:sz w:val="30"/>
          <w:szCs w:val="30"/>
        </w:rPr>
        <w:t>luxiulan@caaa.cn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网  址:www.caaa.cn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proofErr w:type="gramStart"/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芦秀兰</w:t>
      </w:r>
      <w:proofErr w:type="gramEnd"/>
      <w:r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 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13693637591   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陈 敏 13681516281</w:t>
      </w:r>
    </w:p>
    <w:p w:rsidR="001846A2" w:rsidRPr="0088752B" w:rsidRDefault="001846A2" w:rsidP="001846A2">
      <w:pPr>
        <w:spacing w:line="600" w:lineRule="exact"/>
        <w:ind w:firstLineChars="350" w:firstLine="105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张晓峰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13641213700  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88752B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会务组联系方式：</w:t>
      </w:r>
    </w:p>
    <w:p w:rsidR="001846A2" w:rsidRPr="0088752B" w:rsidRDefault="001846A2" w:rsidP="001846A2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联系人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曾晓翘</w:t>
      </w:r>
      <w:proofErr w:type="gramEnd"/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 18518688700  </w:t>
      </w:r>
      <w:proofErr w:type="gramStart"/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朱崇江</w:t>
      </w:r>
      <w:proofErr w:type="gramEnd"/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 13521566628</w:t>
      </w:r>
    </w:p>
    <w:p w:rsidR="001846A2" w:rsidRDefault="001846A2" w:rsidP="001846A2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电话/传真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010-82694437</w:t>
      </w:r>
    </w:p>
    <w:p w:rsidR="001846A2" w:rsidRDefault="001846A2" w:rsidP="001846A2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  <w:r w:rsidRPr="0088752B">
        <w:rPr>
          <w:rFonts w:ascii="仿宋_GB2312" w:eastAsia="仿宋_GB2312" w:hAnsi="Calibri" w:cs="Times New Roman" w:hint="eastAsia"/>
          <w:bCs/>
          <w:sz w:val="30"/>
          <w:szCs w:val="30"/>
        </w:rPr>
        <w:t>邮 箱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863701">
        <w:rPr>
          <w:rFonts w:ascii="仿宋_GB2312" w:eastAsia="仿宋_GB2312" w:hAnsi="Calibri" w:cs="Times New Roman" w:hint="eastAsia"/>
          <w:bCs/>
          <w:sz w:val="30"/>
          <w:szCs w:val="30"/>
        </w:rPr>
        <w:t>lvsexumu@qq.com</w:t>
      </w:r>
    </w:p>
    <w:p w:rsidR="001846A2" w:rsidRPr="00054604" w:rsidRDefault="001846A2" w:rsidP="00114C32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p w:rsidR="009028B6" w:rsidRPr="001846A2" w:rsidRDefault="001846A2" w:rsidP="001846A2">
      <w:pPr>
        <w:spacing w:line="600" w:lineRule="exact"/>
        <w:rPr>
          <w:rFonts w:ascii="仿宋_GB2312" w:eastAsia="仿宋_GB2312" w:hAnsi="宋体" w:cs="仿宋_GB2312"/>
          <w:color w:val="000000"/>
          <w:spacing w:val="-6"/>
          <w:sz w:val="30"/>
          <w:szCs w:val="30"/>
          <w:shd w:val="clear" w:color="auto" w:fill="FFFFFF"/>
        </w:rPr>
      </w:pPr>
      <w:r w:rsidRPr="00A86483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附件</w:t>
      </w:r>
      <w:r w:rsidRPr="0088752B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C73920">
        <w:rPr>
          <w:rFonts w:ascii="仿宋_GB2312" w:eastAsia="仿宋_GB2312" w:hAnsi="宋体" w:cs="仿宋_GB2312" w:hint="eastAsia"/>
          <w:color w:val="000000"/>
          <w:spacing w:val="-6"/>
          <w:sz w:val="30"/>
          <w:szCs w:val="30"/>
          <w:shd w:val="clear" w:color="auto" w:fill="FFFFFF"/>
        </w:rPr>
        <w:t>畜禽养殖废弃物无害化处理及资源化利用培训的通知报名回执</w:t>
      </w:r>
    </w:p>
    <w:p w:rsidR="009028B6" w:rsidRDefault="009028B6" w:rsidP="009028B6">
      <w:pPr>
        <w:ind w:right="450"/>
        <w:jc w:val="right"/>
      </w:pPr>
    </w:p>
    <w:p w:rsidR="009028B6" w:rsidRDefault="009028B6" w:rsidP="009028B6">
      <w:pPr>
        <w:ind w:right="450"/>
        <w:jc w:val="right"/>
      </w:pPr>
    </w:p>
    <w:p w:rsidR="009028B6" w:rsidRDefault="009028B6" w:rsidP="009028B6">
      <w:pPr>
        <w:ind w:right="450"/>
        <w:jc w:val="left"/>
      </w:pPr>
    </w:p>
    <w:p w:rsidR="00A86483" w:rsidRPr="009028B6" w:rsidRDefault="00A86483" w:rsidP="009028B6">
      <w:pPr>
        <w:ind w:right="450" w:firstLineChars="1800" w:firstLine="5400"/>
        <w:jc w:val="left"/>
        <w:rPr>
          <w:rFonts w:ascii="仿宋_GB2312" w:eastAsia="仿宋_GB2312"/>
          <w:sz w:val="30"/>
          <w:szCs w:val="30"/>
        </w:rPr>
      </w:pPr>
      <w:r w:rsidRPr="009028B6">
        <w:rPr>
          <w:rFonts w:ascii="仿宋_GB2312" w:eastAsia="仿宋_GB2312" w:hint="eastAsia"/>
          <w:sz w:val="30"/>
          <w:szCs w:val="30"/>
        </w:rPr>
        <w:t>中国畜牧业协会</w:t>
      </w:r>
    </w:p>
    <w:p w:rsidR="00A86483" w:rsidRPr="009028B6" w:rsidRDefault="00A86483" w:rsidP="009028B6">
      <w:pPr>
        <w:ind w:firstLineChars="1750" w:firstLine="5250"/>
        <w:jc w:val="left"/>
        <w:rPr>
          <w:rFonts w:ascii="仿宋_GB2312" w:eastAsia="仿宋_GB2312"/>
          <w:sz w:val="30"/>
          <w:szCs w:val="30"/>
        </w:rPr>
      </w:pPr>
      <w:r w:rsidRPr="009028B6">
        <w:rPr>
          <w:rFonts w:ascii="仿宋_GB2312" w:eastAsia="仿宋_GB2312" w:hint="eastAsia"/>
          <w:sz w:val="30"/>
          <w:szCs w:val="30"/>
        </w:rPr>
        <w:t>2019年11月1</w:t>
      </w:r>
      <w:r w:rsidR="00355202" w:rsidRPr="009028B6">
        <w:rPr>
          <w:rFonts w:ascii="仿宋_GB2312" w:eastAsia="仿宋_GB2312" w:hint="eastAsia"/>
          <w:sz w:val="30"/>
          <w:szCs w:val="30"/>
        </w:rPr>
        <w:t>3</w:t>
      </w:r>
      <w:r w:rsidRPr="009028B6">
        <w:rPr>
          <w:rFonts w:ascii="仿宋_GB2312" w:eastAsia="仿宋_GB2312" w:hint="eastAsia"/>
          <w:sz w:val="30"/>
          <w:szCs w:val="30"/>
        </w:rPr>
        <w:t>日</w:t>
      </w:r>
    </w:p>
    <w:p w:rsidR="00054604" w:rsidRPr="009028B6" w:rsidRDefault="00054604" w:rsidP="009028B6"/>
    <w:p w:rsidR="00A86483" w:rsidRPr="009028B6" w:rsidRDefault="00A86483" w:rsidP="009028B6"/>
    <w:p w:rsidR="001846A2" w:rsidRPr="0045269E" w:rsidRDefault="001846A2" w:rsidP="0045269E">
      <w:pPr>
        <w:tabs>
          <w:tab w:val="left" w:pos="7170"/>
        </w:tabs>
        <w:spacing w:line="60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A86483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:rsidR="001846A2" w:rsidRPr="00863701" w:rsidRDefault="001846A2" w:rsidP="001846A2">
      <w:pPr>
        <w:spacing w:after="100" w:afterAutospacing="1" w:line="540" w:lineRule="exact"/>
        <w:ind w:firstLineChars="200" w:firstLine="643"/>
        <w:jc w:val="center"/>
        <w:rPr>
          <w:rFonts w:ascii="仿宋_GB2312" w:eastAsia="仿宋_GB2312" w:hAnsi="Calibri" w:cs="仿宋_GB2312"/>
          <w:b/>
          <w:bCs/>
          <w:sz w:val="32"/>
          <w:szCs w:val="32"/>
        </w:rPr>
      </w:pPr>
      <w:r w:rsidRPr="00A86483">
        <w:rPr>
          <w:rFonts w:ascii="仿宋_GB2312" w:eastAsia="仿宋_GB2312" w:hAnsi="Calibri" w:cs="仿宋_GB2312" w:hint="eastAsia"/>
          <w:b/>
          <w:bCs/>
          <w:sz w:val="32"/>
          <w:szCs w:val="32"/>
        </w:rPr>
        <w:t>畜禽养殖废弃物无害化处理及资源化利用培训报名回执</w:t>
      </w:r>
    </w:p>
    <w:tbl>
      <w:tblPr>
        <w:tblW w:w="10400" w:type="dxa"/>
        <w:jc w:val="center"/>
        <w:tblLayout w:type="fixed"/>
        <w:tblLook w:val="0000" w:firstRow="0" w:lastRow="0" w:firstColumn="0" w:lastColumn="0" w:noHBand="0" w:noVBand="0"/>
      </w:tblPr>
      <w:tblGrid>
        <w:gridCol w:w="1574"/>
        <w:gridCol w:w="1171"/>
        <w:gridCol w:w="787"/>
        <w:gridCol w:w="914"/>
        <w:gridCol w:w="452"/>
        <w:gridCol w:w="1608"/>
        <w:gridCol w:w="514"/>
        <w:gridCol w:w="1679"/>
        <w:gridCol w:w="1701"/>
      </w:tblGrid>
      <w:tr w:rsidR="001846A2" w:rsidRPr="00A86483" w:rsidTr="00EA0863">
        <w:trPr>
          <w:trHeight w:val="1078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8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747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电 话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传 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642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地 址</w:t>
            </w:r>
          </w:p>
        </w:tc>
        <w:tc>
          <w:tcPr>
            <w:tcW w:w="5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邮 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1027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职务/职称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spacing w:line="240" w:lineRule="atLeast"/>
              <w:ind w:left="85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是否参加企业考察</w:t>
            </w:r>
          </w:p>
        </w:tc>
      </w:tr>
      <w:tr w:rsidR="001846A2" w:rsidRPr="00A86483" w:rsidTr="00EA0863">
        <w:trPr>
          <w:trHeight w:val="818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793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793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793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793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782"/>
          <w:jc w:val="center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left="87"/>
              <w:jc w:val="center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</w:p>
        </w:tc>
      </w:tr>
      <w:tr w:rsidR="001846A2" w:rsidRPr="00A86483" w:rsidTr="00EA0863">
        <w:trPr>
          <w:trHeight w:val="953"/>
          <w:jc w:val="center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Calibri" w:cs="仿宋" w:hint="eastAsia"/>
                <w:color w:val="000000"/>
                <w:sz w:val="30"/>
                <w:szCs w:val="30"/>
              </w:rPr>
              <w:t>房间预订</w:t>
            </w:r>
          </w:p>
        </w:tc>
        <w:tc>
          <w:tcPr>
            <w:tcW w:w="8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6A2" w:rsidRPr="00A86483" w:rsidRDefault="001846A2" w:rsidP="00EA0863">
            <w:pPr>
              <w:autoSpaceDE w:val="0"/>
              <w:autoSpaceDN w:val="0"/>
              <w:adjustRightInd w:val="0"/>
              <w:ind w:firstLineChars="98" w:firstLine="235"/>
              <w:rPr>
                <w:rFonts w:ascii="仿宋_GB2312" w:eastAsia="仿宋_GB2312" w:hAnsi="Calibri" w:cs="仿宋"/>
                <w:color w:val="000000"/>
                <w:sz w:val="30"/>
                <w:szCs w:val="30"/>
              </w:rPr>
            </w:pPr>
            <w:r w:rsidRPr="00A86483">
              <w:rPr>
                <w:rFonts w:ascii="仿宋_GB2312" w:eastAsia="仿宋_GB2312" w:hAnsi="宋体" w:cs="Times New Roman" w:hint="eastAsia"/>
                <w:sz w:val="24"/>
                <w:szCs w:val="24"/>
              </w:rPr>
              <w:t>单间（    ）     标间（    ）    是否可以合住（    ）</w:t>
            </w:r>
          </w:p>
        </w:tc>
      </w:tr>
    </w:tbl>
    <w:p w:rsidR="001846A2" w:rsidRPr="00942431" w:rsidRDefault="001846A2" w:rsidP="001846A2">
      <w:pPr>
        <w:spacing w:line="540" w:lineRule="exact"/>
        <w:rPr>
          <w:rFonts w:ascii="仿宋_GB2312" w:eastAsia="仿宋_GB2312" w:cs="仿宋"/>
          <w:bCs/>
          <w:color w:val="000000" w:themeColor="text1"/>
          <w:szCs w:val="21"/>
        </w:rPr>
      </w:pPr>
      <w:r>
        <w:rPr>
          <w:rFonts w:ascii="仿宋_GB2312" w:eastAsia="仿宋_GB2312" w:cs="仿宋" w:hint="eastAsia"/>
          <w:bCs/>
          <w:color w:val="000000" w:themeColor="text1"/>
          <w:szCs w:val="21"/>
        </w:rPr>
        <w:t>此表复印有效，填写此表传真到010-82694437或者发邮件到lvsexumu@qq.</w:t>
      </w:r>
      <w:proofErr w:type="gramStart"/>
      <w:r>
        <w:rPr>
          <w:rFonts w:ascii="仿宋_GB2312" w:eastAsia="仿宋_GB2312" w:cs="仿宋" w:hint="eastAsia"/>
          <w:bCs/>
          <w:color w:val="000000" w:themeColor="text1"/>
          <w:szCs w:val="21"/>
        </w:rPr>
        <w:t>com</w:t>
      </w:r>
      <w:proofErr w:type="gramEnd"/>
    </w:p>
    <w:sectPr w:rsidR="001846A2" w:rsidRPr="00942431" w:rsidSect="006E6988">
      <w:footerReference w:type="default" r:id="rId8"/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56" w:rsidRDefault="002E6A56" w:rsidP="00A86483">
      <w:r>
        <w:separator/>
      </w:r>
    </w:p>
  </w:endnote>
  <w:endnote w:type="continuationSeparator" w:id="0">
    <w:p w:rsidR="002E6A56" w:rsidRDefault="002E6A56" w:rsidP="00A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17663"/>
      <w:docPartObj>
        <w:docPartGallery w:val="Page Numbers (Bottom of Page)"/>
        <w:docPartUnique/>
      </w:docPartObj>
    </w:sdtPr>
    <w:sdtEndPr/>
    <w:sdtContent>
      <w:p w:rsidR="001846A2" w:rsidRDefault="001846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46A2">
          <w:rPr>
            <w:noProof/>
            <w:lang w:val="zh-CN"/>
          </w:rPr>
          <w:t>2</w:t>
        </w:r>
        <w:r>
          <w:fldChar w:fldCharType="end"/>
        </w:r>
      </w:p>
    </w:sdtContent>
  </w:sdt>
  <w:p w:rsidR="001846A2" w:rsidRDefault="00184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097013"/>
      <w:docPartObj>
        <w:docPartGallery w:val="Page Numbers (Bottom of Page)"/>
        <w:docPartUnique/>
      </w:docPartObj>
    </w:sdtPr>
    <w:sdtEndPr/>
    <w:sdtContent>
      <w:p w:rsidR="00A86483" w:rsidRDefault="00A86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32" w:rsidRPr="00114C32">
          <w:rPr>
            <w:noProof/>
            <w:lang w:val="zh-CN"/>
          </w:rPr>
          <w:t>5</w:t>
        </w:r>
        <w:r>
          <w:fldChar w:fldCharType="end"/>
        </w:r>
      </w:p>
    </w:sdtContent>
  </w:sdt>
  <w:p w:rsidR="00A86483" w:rsidRDefault="00A86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56" w:rsidRDefault="002E6A56" w:rsidP="00A86483">
      <w:r>
        <w:separator/>
      </w:r>
    </w:p>
  </w:footnote>
  <w:footnote w:type="continuationSeparator" w:id="0">
    <w:p w:rsidR="002E6A56" w:rsidRDefault="002E6A56" w:rsidP="00A8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88"/>
    <w:rsid w:val="00054604"/>
    <w:rsid w:val="00092B39"/>
    <w:rsid w:val="000B7582"/>
    <w:rsid w:val="00114C32"/>
    <w:rsid w:val="00120430"/>
    <w:rsid w:val="00127166"/>
    <w:rsid w:val="001846A2"/>
    <w:rsid w:val="001A6A81"/>
    <w:rsid w:val="002D5E42"/>
    <w:rsid w:val="002E6A56"/>
    <w:rsid w:val="00310DAE"/>
    <w:rsid w:val="00355202"/>
    <w:rsid w:val="003C473D"/>
    <w:rsid w:val="003F4311"/>
    <w:rsid w:val="0045269E"/>
    <w:rsid w:val="005427FD"/>
    <w:rsid w:val="005A4AF1"/>
    <w:rsid w:val="006E6988"/>
    <w:rsid w:val="007277C7"/>
    <w:rsid w:val="007D3A1A"/>
    <w:rsid w:val="007E38D7"/>
    <w:rsid w:val="00863701"/>
    <w:rsid w:val="008B0F39"/>
    <w:rsid w:val="009028B6"/>
    <w:rsid w:val="00A86483"/>
    <w:rsid w:val="00C328BE"/>
    <w:rsid w:val="00C4299C"/>
    <w:rsid w:val="00C73920"/>
    <w:rsid w:val="00C87525"/>
    <w:rsid w:val="00CA392F"/>
    <w:rsid w:val="00CE1873"/>
    <w:rsid w:val="00F15F62"/>
    <w:rsid w:val="00F31AF3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460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8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483"/>
    <w:rPr>
      <w:sz w:val="18"/>
      <w:szCs w:val="18"/>
    </w:rPr>
  </w:style>
  <w:style w:type="paragraph" w:styleId="a6">
    <w:name w:val="List Paragraph"/>
    <w:basedOn w:val="a"/>
    <w:uiPriority w:val="34"/>
    <w:qFormat/>
    <w:rsid w:val="00C7392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552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52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460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8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483"/>
    <w:rPr>
      <w:sz w:val="18"/>
      <w:szCs w:val="18"/>
    </w:rPr>
  </w:style>
  <w:style w:type="paragraph" w:styleId="a6">
    <w:name w:val="List Paragraph"/>
    <w:basedOn w:val="a"/>
    <w:uiPriority w:val="34"/>
    <w:qFormat/>
    <w:rsid w:val="00C7392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552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5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1692</Characters>
  <Application>Microsoft Office Word</Application>
  <DocSecurity>0</DocSecurity>
  <Lines>14</Lines>
  <Paragraphs>3</Paragraphs>
  <ScaleCrop>false</ScaleCrop>
  <Company>深度优化纯净版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3</cp:revision>
  <cp:lastPrinted>2019-11-13T05:59:00Z</cp:lastPrinted>
  <dcterms:created xsi:type="dcterms:W3CDTF">2019-11-25T07:17:00Z</dcterms:created>
  <dcterms:modified xsi:type="dcterms:W3CDTF">2019-11-25T07:17:00Z</dcterms:modified>
</cp:coreProperties>
</file>